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CB93" w14:textId="77777777" w:rsidR="00595E6E" w:rsidRDefault="00595E6E"/>
    <w:tbl>
      <w:tblPr>
        <w:tblW w:w="9242" w:type="dxa"/>
        <w:tblLook w:val="04A0" w:firstRow="1" w:lastRow="0" w:firstColumn="1" w:lastColumn="0" w:noHBand="0" w:noVBand="1"/>
      </w:tblPr>
      <w:tblGrid>
        <w:gridCol w:w="1119"/>
        <w:gridCol w:w="242"/>
        <w:gridCol w:w="880"/>
        <w:gridCol w:w="1113"/>
        <w:gridCol w:w="793"/>
        <w:gridCol w:w="710"/>
        <w:gridCol w:w="3746"/>
        <w:gridCol w:w="417"/>
        <w:gridCol w:w="222"/>
      </w:tblGrid>
      <w:tr w:rsidR="0084476B" w:rsidRPr="0084476B" w14:paraId="43F6B02F" w14:textId="168D0AE6" w:rsidTr="00C20267">
        <w:trPr>
          <w:trHeight w:val="420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220" w14:textId="5D2D5623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32"/>
                <w:szCs w:val="32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32"/>
                <w:szCs w:val="32"/>
                <w:lang w:eastAsia="en-GB"/>
              </w:rPr>
              <w:t xml:space="preserve">South Walsham Cemetery Fees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E7E7B5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32"/>
                <w:szCs w:val="32"/>
                <w:lang w:eastAsia="en-GB"/>
              </w:rPr>
            </w:pPr>
          </w:p>
        </w:tc>
      </w:tr>
      <w:tr w:rsidR="0084476B" w:rsidRPr="0084476B" w14:paraId="14A52378" w14:textId="4AB0CF8A" w:rsidTr="00C2026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B82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32"/>
                <w:szCs w:val="32"/>
                <w:lang w:eastAsia="en-GB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6C4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D32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0F49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F3C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A0DC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£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FD60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16B13A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5E3CE27B" w14:textId="0D9A04F2" w:rsidTr="00C20267">
        <w:trPr>
          <w:trHeight w:val="300"/>
        </w:trPr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309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Purchase of single burial plot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BD6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8A18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7D07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330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6C3A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BC6997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3240FDD7" w14:textId="1F2BB01B" w:rsidTr="00C20267">
        <w:trPr>
          <w:trHeight w:val="300"/>
        </w:trPr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AB9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Purchase of double burial plot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F695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0C5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9B6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385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449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FC503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378814AB" w14:textId="7A05EFAF" w:rsidTr="00C20267">
        <w:trPr>
          <w:trHeight w:val="300"/>
        </w:trPr>
        <w:tc>
          <w:tcPr>
            <w:tcW w:w="4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F93A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Grant of exclusive right (additional to plot)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A8F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BB65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C9067B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55733154" w14:textId="4B0A8AE7" w:rsidTr="00C20267">
        <w:trPr>
          <w:trHeight w:val="300"/>
        </w:trPr>
        <w:tc>
          <w:tcPr>
            <w:tcW w:w="4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B13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Second interment in double grave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F8A2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14BA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165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EE0C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7FA12C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5C72574F" w14:textId="31570C59" w:rsidTr="00C20267">
        <w:trPr>
          <w:trHeight w:val="300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DBB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Interment of ashes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D15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F9C7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78A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793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165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890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817371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37A764B0" w14:textId="4836B055" w:rsidTr="00C20267">
        <w:trPr>
          <w:trHeight w:val="300"/>
        </w:trPr>
        <w:tc>
          <w:tcPr>
            <w:tcW w:w="4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A3A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Interment of additional ashes in same plot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576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D0CD" w14:textId="691A4E29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85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D0B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5179780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4DB3E27D" w14:textId="251BF58C" w:rsidTr="00C20267">
        <w:trPr>
          <w:trHeight w:val="300"/>
        </w:trPr>
        <w:tc>
          <w:tcPr>
            <w:tcW w:w="4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756E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Grant of exclusive right - ashes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BE00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D2F3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55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305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A7D300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2351B445" w14:textId="0D568A5C" w:rsidTr="00C20267">
        <w:trPr>
          <w:trHeight w:val="300"/>
        </w:trPr>
        <w:tc>
          <w:tcPr>
            <w:tcW w:w="4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FED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Permission for memorial headstone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DAC3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F24" w14:textId="15CF79A3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140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79AD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06995A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57F01734" w14:textId="3435F8CC" w:rsidTr="00C20267">
        <w:trPr>
          <w:trHeight w:val="300"/>
        </w:trPr>
        <w:tc>
          <w:tcPr>
            <w:tcW w:w="4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D6A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Permission for memorial flat stone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6E3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1F8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0FDC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96818E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462ED161" w14:textId="49F4D716" w:rsidTr="00C20267">
        <w:trPr>
          <w:trHeight w:val="300"/>
        </w:trPr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0D25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Permission for memorial vase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0374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021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68D" w14:textId="10B58926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90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EA6B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EC512A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1C63216A" w14:textId="37FC33F7" w:rsidTr="00C20267">
        <w:trPr>
          <w:trHeight w:val="300"/>
        </w:trPr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62B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Permission for tablet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43F" w14:textId="77777777" w:rsidR="00C20267" w:rsidRPr="0084476B" w:rsidRDefault="00C20267" w:rsidP="00CB2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72FE" w14:textId="77777777" w:rsidR="00C20267" w:rsidRPr="0084476B" w:rsidRDefault="00C20267" w:rsidP="00C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48B8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C1DC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625608" w14:textId="77777777" w:rsidR="00C20267" w:rsidRPr="0084476B" w:rsidRDefault="00C20267" w:rsidP="00CB2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0DFB749D" w14:textId="148B5FCE" w:rsidTr="00C20267">
        <w:trPr>
          <w:trHeight w:val="80"/>
        </w:trPr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A92A" w14:textId="5D15F386" w:rsidR="00C20267" w:rsidRPr="0084476B" w:rsidRDefault="00C20267" w:rsidP="00C20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Additional Inscription Fee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78F0" w14:textId="77777777" w:rsidR="00C20267" w:rsidRPr="0084476B" w:rsidRDefault="00C20267" w:rsidP="00C20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705F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B68B" w14:textId="1D04F371" w:rsidR="00C20267" w:rsidRPr="0084476B" w:rsidRDefault="00C20267" w:rsidP="00C20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B7A8" w14:textId="77777777" w:rsidR="00C20267" w:rsidRPr="0084476B" w:rsidRDefault="00C20267" w:rsidP="00C20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E70EB8" w14:textId="77777777" w:rsidR="00C20267" w:rsidRPr="0084476B" w:rsidRDefault="00C20267" w:rsidP="00C20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5BE2F0D7" w14:textId="582C7B1D" w:rsidTr="00C20267">
        <w:trPr>
          <w:trHeight w:val="300"/>
        </w:trPr>
        <w:tc>
          <w:tcPr>
            <w:tcW w:w="4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094" w14:textId="77777777" w:rsidR="00C20267" w:rsidRPr="0084476B" w:rsidRDefault="00C20267" w:rsidP="00C20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Transfer of ownership of exclusive rights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152" w14:textId="77777777" w:rsidR="00C20267" w:rsidRPr="0084476B" w:rsidRDefault="00C20267" w:rsidP="00C20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8911" w14:textId="77777777" w:rsidR="00C20267" w:rsidRPr="0084476B" w:rsidRDefault="00C20267" w:rsidP="00C20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  <w:t>55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D71" w14:textId="77777777" w:rsidR="00C20267" w:rsidRPr="0084476B" w:rsidRDefault="00C20267" w:rsidP="00C20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7BF24F" w14:textId="77777777" w:rsidR="00C20267" w:rsidRPr="0084476B" w:rsidRDefault="00C20267" w:rsidP="00C20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n-GB"/>
              </w:rPr>
            </w:pPr>
          </w:p>
        </w:tc>
      </w:tr>
      <w:tr w:rsidR="0084476B" w:rsidRPr="0084476B" w14:paraId="20514242" w14:textId="570B9451" w:rsidTr="00C2026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4B50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026B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B237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BED3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C22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922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8CAA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45DC89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</w:tr>
      <w:tr w:rsidR="0084476B" w:rsidRPr="0084476B" w14:paraId="36D4347D" w14:textId="7D2A704C" w:rsidTr="00C20267">
        <w:trPr>
          <w:trHeight w:val="300"/>
        </w:trPr>
        <w:tc>
          <w:tcPr>
            <w:tcW w:w="4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20D" w14:textId="77777777" w:rsidR="00C20267" w:rsidRPr="0084476B" w:rsidRDefault="00C20267" w:rsidP="00C202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F81BD" w:themeColor="accent1"/>
                <w:lang w:eastAsia="en-GB"/>
              </w:rPr>
            </w:pPr>
            <w:r w:rsidRPr="0084476B">
              <w:rPr>
                <w:rFonts w:ascii="Calibri" w:eastAsia="Times New Roman" w:hAnsi="Calibri" w:cs="Times New Roman"/>
                <w:i/>
                <w:iCs/>
                <w:color w:val="4F81BD" w:themeColor="accent1"/>
                <w:lang w:eastAsia="en-GB"/>
              </w:rPr>
              <w:t>Reduced rates of 25% apply for children under 12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DFC7" w14:textId="77777777" w:rsidR="00C20267" w:rsidRPr="0084476B" w:rsidRDefault="00C20267" w:rsidP="00C202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F81BD" w:themeColor="accent1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415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230F9D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</w:tr>
      <w:tr w:rsidR="0084476B" w:rsidRPr="0084476B" w14:paraId="1E22974A" w14:textId="3C1AEB8D" w:rsidTr="00C2026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755C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F01D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4A05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9893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3BC8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5593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D426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CB612D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</w:tr>
      <w:tr w:rsidR="00C20267" w:rsidRPr="0084476B" w14:paraId="2B5AE293" w14:textId="685BFD32" w:rsidTr="00C2026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B16C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5745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E681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C70C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C538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AF1D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C719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0D5F20" w14:textId="77777777" w:rsidR="00C20267" w:rsidRPr="0084476B" w:rsidRDefault="00C20267" w:rsidP="00C2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en-GB"/>
              </w:rPr>
            </w:pPr>
          </w:p>
        </w:tc>
      </w:tr>
    </w:tbl>
    <w:p w14:paraId="581031F0" w14:textId="6AEDF855" w:rsidR="00942B2C" w:rsidRPr="0084476B" w:rsidRDefault="00942B2C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</w:p>
    <w:p w14:paraId="6650DA92" w14:textId="77777777" w:rsidR="00942B2C" w:rsidRPr="0084476B" w:rsidRDefault="00942B2C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</w:p>
    <w:p w14:paraId="1083EE31" w14:textId="77777777" w:rsidR="00C20267" w:rsidRPr="0084476B" w:rsidRDefault="00942B2C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  <w:r w:rsidRPr="0084476B">
        <w:rPr>
          <w:color w:val="4F81BD" w:themeColor="accent1"/>
          <w:sz w:val="24"/>
          <w:szCs w:val="24"/>
        </w:rPr>
        <w:t xml:space="preserve">Clerk: </w:t>
      </w:r>
    </w:p>
    <w:p w14:paraId="7A6966D0" w14:textId="30557BCF" w:rsidR="00942B2C" w:rsidRPr="0084476B" w:rsidRDefault="00C20267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  <w:r w:rsidRPr="0084476B">
        <w:rPr>
          <w:color w:val="4F81BD" w:themeColor="accent1"/>
          <w:sz w:val="24"/>
          <w:szCs w:val="24"/>
        </w:rPr>
        <w:t>Miss Aileen Beck</w:t>
      </w:r>
    </w:p>
    <w:p w14:paraId="5A7B7BE8" w14:textId="71580415" w:rsidR="00C20267" w:rsidRPr="0084476B" w:rsidRDefault="00C20267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  <w:r w:rsidRPr="0084476B">
        <w:rPr>
          <w:color w:val="4F81BD" w:themeColor="accent1"/>
          <w:sz w:val="24"/>
          <w:szCs w:val="24"/>
        </w:rPr>
        <w:t>3 Broadacres</w:t>
      </w:r>
    </w:p>
    <w:p w14:paraId="58A19C9A" w14:textId="16E67947" w:rsidR="00C20267" w:rsidRPr="0084476B" w:rsidRDefault="00C20267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  <w:r w:rsidRPr="0084476B">
        <w:rPr>
          <w:color w:val="4F81BD" w:themeColor="accent1"/>
          <w:sz w:val="24"/>
          <w:szCs w:val="24"/>
        </w:rPr>
        <w:t>Pilson Green</w:t>
      </w:r>
    </w:p>
    <w:p w14:paraId="22C7514A" w14:textId="7FC01B31" w:rsidR="00C20267" w:rsidRPr="0084476B" w:rsidRDefault="00C20267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  <w:r w:rsidRPr="0084476B">
        <w:rPr>
          <w:color w:val="4F81BD" w:themeColor="accent1"/>
          <w:sz w:val="24"/>
          <w:szCs w:val="24"/>
        </w:rPr>
        <w:t>South Walsham</w:t>
      </w:r>
    </w:p>
    <w:p w14:paraId="07E013D3" w14:textId="1F6F04BC" w:rsidR="00C20267" w:rsidRPr="0084476B" w:rsidRDefault="00C20267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  <w:r w:rsidRPr="0084476B">
        <w:rPr>
          <w:color w:val="4F81BD" w:themeColor="accent1"/>
          <w:sz w:val="24"/>
          <w:szCs w:val="24"/>
        </w:rPr>
        <w:t>NR13 6EJ</w:t>
      </w:r>
    </w:p>
    <w:p w14:paraId="1F5EEBEC" w14:textId="77777777" w:rsidR="00C20267" w:rsidRPr="0084476B" w:rsidRDefault="00942B2C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  <w:r w:rsidRPr="0084476B">
        <w:rPr>
          <w:color w:val="4F81BD" w:themeColor="accent1"/>
          <w:sz w:val="24"/>
          <w:szCs w:val="24"/>
        </w:rPr>
        <w:t>Telephone:  016</w:t>
      </w:r>
      <w:r w:rsidR="00C20267" w:rsidRPr="0084476B">
        <w:rPr>
          <w:color w:val="4F81BD" w:themeColor="accent1"/>
          <w:sz w:val="24"/>
          <w:szCs w:val="24"/>
        </w:rPr>
        <w:t>03 270392</w:t>
      </w:r>
      <w:r w:rsidRPr="0084476B">
        <w:rPr>
          <w:color w:val="4F81BD" w:themeColor="accent1"/>
          <w:sz w:val="24"/>
          <w:szCs w:val="24"/>
        </w:rPr>
        <w:tab/>
      </w:r>
    </w:p>
    <w:p w14:paraId="612A6B8F" w14:textId="66A9E910" w:rsidR="00595E6E" w:rsidRPr="0084476B" w:rsidRDefault="00942B2C" w:rsidP="00595E6E">
      <w:pPr>
        <w:tabs>
          <w:tab w:val="left" w:pos="3450"/>
        </w:tabs>
        <w:rPr>
          <w:color w:val="4F81BD" w:themeColor="accent1"/>
          <w:sz w:val="24"/>
          <w:szCs w:val="24"/>
        </w:rPr>
      </w:pPr>
      <w:r w:rsidRPr="0084476B">
        <w:rPr>
          <w:color w:val="4F81BD" w:themeColor="accent1"/>
          <w:sz w:val="24"/>
          <w:szCs w:val="24"/>
        </w:rPr>
        <w:t xml:space="preserve">email:  </w:t>
      </w:r>
      <w:hyperlink r:id="rId6" w:history="1">
        <w:r w:rsidRPr="0084476B">
          <w:rPr>
            <w:rStyle w:val="Hyperlink"/>
            <w:color w:val="4F81BD" w:themeColor="accent1"/>
            <w:sz w:val="24"/>
            <w:szCs w:val="24"/>
          </w:rPr>
          <w:t>southwclerk@outlook.com</w:t>
        </w:r>
      </w:hyperlink>
      <w:r w:rsidRPr="0084476B">
        <w:rPr>
          <w:color w:val="4F81BD" w:themeColor="accent1"/>
          <w:sz w:val="24"/>
          <w:szCs w:val="24"/>
        </w:rPr>
        <w:t xml:space="preserve"> </w:t>
      </w:r>
      <w:r w:rsidR="00595E6E" w:rsidRPr="0084476B">
        <w:rPr>
          <w:color w:val="4F81BD" w:themeColor="accent1"/>
          <w:sz w:val="24"/>
          <w:szCs w:val="24"/>
        </w:rPr>
        <w:tab/>
      </w:r>
    </w:p>
    <w:p w14:paraId="336D31BB" w14:textId="77777777" w:rsidR="00DD2E69" w:rsidRDefault="00DD2E69"/>
    <w:sectPr w:rsidR="00DD2E69" w:rsidSect="00780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6230" w14:textId="77777777" w:rsidR="00710DEE" w:rsidRDefault="00710DEE">
      <w:pPr>
        <w:spacing w:after="0" w:line="240" w:lineRule="auto"/>
      </w:pPr>
      <w:r>
        <w:separator/>
      </w:r>
    </w:p>
  </w:endnote>
  <w:endnote w:type="continuationSeparator" w:id="0">
    <w:p w14:paraId="19F33CEA" w14:textId="77777777" w:rsidR="00710DEE" w:rsidRDefault="007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DD2A" w14:textId="77777777" w:rsidR="00B14638" w:rsidRDefault="00D47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2B7B" w14:textId="77777777" w:rsidR="00B14638" w:rsidRDefault="00D47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6E9C" w14:textId="77777777" w:rsidR="00B14638" w:rsidRDefault="00D4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C081" w14:textId="77777777" w:rsidR="00710DEE" w:rsidRDefault="00710DEE">
      <w:pPr>
        <w:spacing w:after="0" w:line="240" w:lineRule="auto"/>
      </w:pPr>
      <w:r>
        <w:separator/>
      </w:r>
    </w:p>
  </w:footnote>
  <w:footnote w:type="continuationSeparator" w:id="0">
    <w:p w14:paraId="2D0195F5" w14:textId="77777777" w:rsidR="00710DEE" w:rsidRDefault="007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0A1C" w14:textId="77777777" w:rsidR="00B14638" w:rsidRDefault="00D47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63FF" w14:textId="77777777" w:rsidR="00B14638" w:rsidRDefault="00D47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F093" w14:textId="77777777" w:rsidR="00B14638" w:rsidRDefault="00D47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6E"/>
    <w:rsid w:val="004E0314"/>
    <w:rsid w:val="00537284"/>
    <w:rsid w:val="00595E6E"/>
    <w:rsid w:val="00710DEE"/>
    <w:rsid w:val="007809B5"/>
    <w:rsid w:val="0084476B"/>
    <w:rsid w:val="00942B2C"/>
    <w:rsid w:val="00AB4CD4"/>
    <w:rsid w:val="00C20267"/>
    <w:rsid w:val="00CB7E09"/>
    <w:rsid w:val="00D35AFA"/>
    <w:rsid w:val="00D47ACB"/>
    <w:rsid w:val="00D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ABCE"/>
  <w15:docId w15:val="{B7F84804-10D5-4CFE-8F73-508F85AC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6E"/>
  </w:style>
  <w:style w:type="paragraph" w:styleId="Footer">
    <w:name w:val="footer"/>
    <w:basedOn w:val="Normal"/>
    <w:link w:val="FooterChar"/>
    <w:uiPriority w:val="99"/>
    <w:unhideWhenUsed/>
    <w:rsid w:val="0059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6E"/>
  </w:style>
  <w:style w:type="character" w:styleId="Hyperlink">
    <w:name w:val="Hyperlink"/>
    <w:basedOn w:val="DefaultParagraphFont"/>
    <w:uiPriority w:val="99"/>
    <w:unhideWhenUsed/>
    <w:rsid w:val="00942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wclerk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South Walsham Clerk</cp:lastModifiedBy>
  <cp:revision>3</cp:revision>
  <cp:lastPrinted>2019-09-30T13:16:00Z</cp:lastPrinted>
  <dcterms:created xsi:type="dcterms:W3CDTF">2023-05-10T21:13:00Z</dcterms:created>
  <dcterms:modified xsi:type="dcterms:W3CDTF">2023-05-10T21:13:00Z</dcterms:modified>
</cp:coreProperties>
</file>